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仿宋_GBK" w:cs="Times New Roman"/>
          <w:bCs/>
          <w:szCs w:val="32"/>
        </w:rPr>
      </w:pPr>
    </w:p>
    <w:p>
      <w:pPr>
        <w:spacing w:line="600" w:lineRule="exact"/>
        <w:jc w:val="center"/>
        <w:rPr>
          <w:rFonts w:eastAsia="方正仿宋_GBK" w:cs="Times New Roman"/>
          <w:bCs/>
          <w:szCs w:val="32"/>
        </w:rPr>
      </w:pPr>
    </w:p>
    <w:p>
      <w:pPr>
        <w:spacing w:line="600" w:lineRule="exact"/>
        <w:jc w:val="center"/>
        <w:rPr>
          <w:rFonts w:eastAsia="方正仿宋_GBK" w:cs="Times New Roman"/>
          <w:bCs/>
          <w:szCs w:val="32"/>
        </w:rPr>
      </w:pPr>
    </w:p>
    <w:p>
      <w:pPr>
        <w:spacing w:line="600" w:lineRule="exact"/>
        <w:jc w:val="center"/>
        <w:rPr>
          <w:rFonts w:hint="eastAsia" w:eastAsia="方正仿宋_GBK" w:cs="Times New Roman"/>
          <w:bCs/>
          <w:szCs w:val="32"/>
        </w:rPr>
      </w:pPr>
    </w:p>
    <w:p>
      <w:pPr>
        <w:spacing w:line="600" w:lineRule="exact"/>
        <w:jc w:val="center"/>
        <w:rPr>
          <w:rFonts w:eastAsia="方正仿宋_GBK" w:cs="Times New Roman"/>
          <w:bCs/>
          <w:szCs w:val="32"/>
        </w:rPr>
      </w:pPr>
    </w:p>
    <w:p>
      <w:pPr>
        <w:spacing w:line="600" w:lineRule="exact"/>
        <w:jc w:val="center"/>
        <w:rPr>
          <w:rFonts w:hint="eastAsia" w:eastAsia="方正仿宋_GBK" w:cs="Times New Roman"/>
          <w:bCs/>
          <w:szCs w:val="32"/>
        </w:rPr>
      </w:pPr>
      <w:r>
        <w:rPr>
          <w:rFonts w:eastAsia="方正仿宋_GBK" w:cs="Times New Roman"/>
          <w:bCs/>
          <w:szCs w:val="32"/>
        </w:rPr>
        <w:t>宿治欠</w:t>
      </w:r>
      <w:r>
        <w:rPr>
          <w:rFonts w:hint="eastAsia" w:eastAsia="方正仿宋_GBK" w:cs="Times New Roman"/>
          <w:bCs/>
          <w:szCs w:val="32"/>
        </w:rPr>
        <w:t>办</w:t>
      </w:r>
      <w:r>
        <w:rPr>
          <w:rFonts w:eastAsia="方正仿宋_GBK" w:cs="Times New Roman"/>
          <w:bCs/>
          <w:szCs w:val="32"/>
        </w:rPr>
        <w:t>发〔</w:t>
      </w:r>
      <w:r>
        <w:rPr>
          <w:rFonts w:hint="eastAsia" w:eastAsia="方正仿宋_GBK" w:cs="Times New Roman"/>
          <w:bCs/>
          <w:szCs w:val="32"/>
        </w:rPr>
        <w:t>2024</w:t>
      </w:r>
      <w:r>
        <w:rPr>
          <w:rFonts w:eastAsia="方正仿宋_GBK" w:cs="Times New Roman"/>
          <w:bCs/>
          <w:szCs w:val="32"/>
        </w:rPr>
        <w:t>〕</w:t>
      </w:r>
      <w:r>
        <w:rPr>
          <w:rFonts w:hint="eastAsia" w:eastAsia="方正仿宋_GBK" w:cs="Times New Roman"/>
          <w:bCs/>
          <w:szCs w:val="32"/>
          <w:lang w:val="en-US" w:eastAsia="zh-CN"/>
        </w:rPr>
        <w:t>9</w:t>
      </w:r>
      <w:r>
        <w:rPr>
          <w:rFonts w:eastAsia="方正仿宋_GBK" w:cs="Times New Roman"/>
          <w:bCs/>
          <w:szCs w:val="32"/>
        </w:rPr>
        <w:t>号</w:t>
      </w:r>
    </w:p>
    <w:p>
      <w:pPr>
        <w:spacing w:line="600" w:lineRule="exact"/>
        <w:jc w:val="center"/>
        <w:rPr>
          <w:rFonts w:hint="eastAsia" w:eastAsia="方正仿宋_GBK" w:cs="Times New Roman"/>
          <w:bCs/>
          <w:szCs w:val="32"/>
        </w:rPr>
      </w:pPr>
    </w:p>
    <w:p>
      <w:pPr>
        <w:spacing w:line="600" w:lineRule="exact"/>
        <w:jc w:val="center"/>
        <w:rPr>
          <w:rFonts w:eastAsia="方正小标宋简体" w:cs="Times New Roman"/>
          <w:sz w:val="44"/>
          <w:szCs w:val="44"/>
        </w:rPr>
      </w:pPr>
    </w:p>
    <w:p>
      <w:pPr>
        <w:spacing w:line="600" w:lineRule="exact"/>
        <w:jc w:val="center"/>
        <w:rPr>
          <w:rFonts w:eastAsia="方正小标宋_GBK" w:cs="Times New Roman"/>
          <w:sz w:val="44"/>
          <w:szCs w:val="44"/>
        </w:rPr>
      </w:pPr>
      <w:r>
        <w:rPr>
          <w:rFonts w:eastAsia="方正小标宋_GBK" w:cs="Times New Roman"/>
          <w:sz w:val="44"/>
          <w:szCs w:val="44"/>
        </w:rPr>
        <w:t>关于印发</w:t>
      </w:r>
      <w:r>
        <w:rPr>
          <w:rFonts w:hint="eastAsia" w:eastAsia="方正小标宋_GBK" w:cs="Times New Roman"/>
          <w:sz w:val="44"/>
          <w:szCs w:val="44"/>
        </w:rPr>
        <w:t>宿迁市“安薪宿迁”</w:t>
      </w:r>
      <w:r>
        <w:rPr>
          <w:rFonts w:eastAsia="方正小标宋_GBK" w:cs="Times New Roman"/>
          <w:sz w:val="44"/>
          <w:szCs w:val="44"/>
        </w:rPr>
        <w:t>专项行动</w:t>
      </w:r>
    </w:p>
    <w:p>
      <w:pPr>
        <w:spacing w:line="600" w:lineRule="exact"/>
        <w:jc w:val="center"/>
        <w:rPr>
          <w:rFonts w:eastAsia="方正小标宋_GBK" w:cs="Times New Roman"/>
          <w:sz w:val="44"/>
          <w:szCs w:val="44"/>
        </w:rPr>
      </w:pPr>
      <w:r>
        <w:rPr>
          <w:rFonts w:eastAsia="方正小标宋_GBK" w:cs="Times New Roman"/>
          <w:sz w:val="44"/>
          <w:szCs w:val="44"/>
        </w:rPr>
        <w:t>工作方案的通知</w:t>
      </w:r>
    </w:p>
    <w:p>
      <w:pPr>
        <w:spacing w:line="600" w:lineRule="exact"/>
        <w:rPr>
          <w:rFonts w:eastAsia="方正仿宋_GBK" w:cs="Times New Roman"/>
          <w:szCs w:val="32"/>
        </w:rPr>
      </w:pPr>
    </w:p>
    <w:p>
      <w:pPr>
        <w:spacing w:line="600" w:lineRule="exact"/>
        <w:rPr>
          <w:rFonts w:eastAsia="方正仿宋_GBK" w:cs="Times New Roman"/>
          <w:szCs w:val="32"/>
        </w:rPr>
      </w:pPr>
      <w:r>
        <w:rPr>
          <w:rFonts w:eastAsia="方正仿宋_GBK" w:cs="Times New Roman"/>
          <w:szCs w:val="32"/>
        </w:rPr>
        <w:t>各县、区人民政府，市各开发区、新区、园区管委会，市根治拖欠农民工工资工作领导小组各</w:t>
      </w:r>
      <w:r>
        <w:rPr>
          <w:rFonts w:hint="eastAsia" w:eastAsia="方正仿宋_GBK" w:cs="Times New Roman"/>
          <w:szCs w:val="32"/>
        </w:rPr>
        <w:t>相关</w:t>
      </w:r>
      <w:r>
        <w:rPr>
          <w:rFonts w:eastAsia="方正仿宋_GBK" w:cs="Times New Roman"/>
          <w:szCs w:val="32"/>
        </w:rPr>
        <w:t>成员单位：</w:t>
      </w:r>
    </w:p>
    <w:p>
      <w:pPr>
        <w:spacing w:line="600" w:lineRule="exact"/>
        <w:ind w:firstLine="640" w:firstLineChars="200"/>
        <w:rPr>
          <w:rFonts w:eastAsia="方正仿宋_GBK" w:cs="Times New Roman"/>
          <w:szCs w:val="32"/>
        </w:rPr>
      </w:pPr>
      <w:r>
        <w:rPr>
          <w:rFonts w:eastAsia="方正仿宋_GBK" w:cs="Times New Roman"/>
          <w:szCs w:val="32"/>
        </w:rPr>
        <w:t>现将《</w:t>
      </w:r>
      <w:r>
        <w:rPr>
          <w:rFonts w:hint="eastAsia" w:eastAsia="方正仿宋_GBK" w:cs="Times New Roman"/>
          <w:szCs w:val="32"/>
        </w:rPr>
        <w:t>宿迁市“安薪宿迁”专项行动工作方案</w:t>
      </w:r>
      <w:r>
        <w:rPr>
          <w:rFonts w:eastAsia="方正仿宋_GBK" w:cs="Times New Roman"/>
          <w:szCs w:val="32"/>
        </w:rPr>
        <w:t>》印发给你们，请认真抓好落实。</w:t>
      </w:r>
    </w:p>
    <w:p>
      <w:pPr>
        <w:spacing w:line="600" w:lineRule="exact"/>
        <w:rPr>
          <w:rFonts w:eastAsia="方正仿宋_GBK" w:cs="Times New Roman"/>
          <w:szCs w:val="32"/>
        </w:rPr>
      </w:pPr>
    </w:p>
    <w:p>
      <w:pPr>
        <w:spacing w:line="600" w:lineRule="exact"/>
        <w:rPr>
          <w:rFonts w:eastAsia="方正仿宋_GBK" w:cs="Times New Roman"/>
          <w:szCs w:val="32"/>
        </w:rPr>
      </w:pPr>
    </w:p>
    <w:p>
      <w:pPr>
        <w:spacing w:line="600" w:lineRule="exact"/>
        <w:jc w:val="right"/>
        <w:rPr>
          <w:rFonts w:eastAsia="方正仿宋_GBK" w:cs="Times New Roman"/>
          <w:szCs w:val="32"/>
        </w:rPr>
      </w:pPr>
    </w:p>
    <w:p>
      <w:pPr>
        <w:spacing w:line="600" w:lineRule="exact"/>
        <w:ind w:firstLine="1280" w:firstLineChars="400"/>
        <w:jc w:val="right"/>
        <w:rPr>
          <w:rFonts w:eastAsia="方正仿宋_GBK" w:cs="Times New Roman"/>
          <w:szCs w:val="32"/>
        </w:rPr>
      </w:pPr>
      <w:r>
        <w:rPr>
          <w:rFonts w:eastAsia="方正仿宋_GBK" w:cs="Times New Roman"/>
          <w:szCs w:val="32"/>
        </w:rPr>
        <w:t>宿迁市根治拖欠农民工工资工作领导小组</w:t>
      </w:r>
      <w:r>
        <w:rPr>
          <w:rFonts w:hint="eastAsia" w:eastAsia="方正仿宋_GBK" w:cs="Times New Roman"/>
          <w:szCs w:val="32"/>
        </w:rPr>
        <w:t>办公室</w:t>
      </w:r>
    </w:p>
    <w:p>
      <w:pPr>
        <w:spacing w:line="600" w:lineRule="exact"/>
        <w:rPr>
          <w:rFonts w:eastAsia="方正仿宋_GBK" w:cs="Times New Roman"/>
          <w:szCs w:val="32"/>
        </w:rPr>
      </w:pPr>
      <w:r>
        <w:rPr>
          <w:rFonts w:eastAsia="方正仿宋_GBK" w:cs="Times New Roman"/>
          <w:szCs w:val="32"/>
        </w:rPr>
        <w:t xml:space="preserve">   </w:t>
      </w:r>
      <w:r>
        <w:rPr>
          <w:rFonts w:hint="eastAsia" w:eastAsia="方正仿宋_GBK" w:cs="Times New Roman"/>
          <w:szCs w:val="32"/>
        </w:rPr>
        <w:t xml:space="preserve">                           </w:t>
      </w:r>
      <w:r>
        <w:rPr>
          <w:rFonts w:eastAsia="方正仿宋_GBK" w:cs="Times New Roman"/>
          <w:szCs w:val="32"/>
        </w:rPr>
        <w:t xml:space="preserve"> 202</w:t>
      </w:r>
      <w:r>
        <w:rPr>
          <w:rFonts w:hint="eastAsia" w:eastAsia="方正仿宋_GBK" w:cs="Times New Roman"/>
          <w:szCs w:val="32"/>
        </w:rPr>
        <w:t>4</w:t>
      </w:r>
      <w:r>
        <w:rPr>
          <w:rFonts w:eastAsia="方正仿宋_GBK" w:cs="Times New Roman"/>
          <w:szCs w:val="32"/>
        </w:rPr>
        <w:t>年</w:t>
      </w:r>
      <w:r>
        <w:rPr>
          <w:rFonts w:hint="eastAsia" w:eastAsia="方正仿宋_GBK" w:cs="Times New Roman"/>
          <w:szCs w:val="32"/>
        </w:rPr>
        <w:t>5</w:t>
      </w:r>
      <w:r>
        <w:rPr>
          <w:rFonts w:eastAsia="方正仿宋_GBK" w:cs="Times New Roman"/>
          <w:szCs w:val="32"/>
        </w:rPr>
        <w:t>月</w:t>
      </w:r>
      <w:r>
        <w:rPr>
          <w:rFonts w:hint="eastAsia" w:eastAsia="方正仿宋_GBK" w:cs="Times New Roman"/>
          <w:szCs w:val="32"/>
        </w:rPr>
        <w:t>27</w:t>
      </w:r>
      <w:r>
        <w:rPr>
          <w:rFonts w:eastAsia="方正仿宋_GBK" w:cs="Times New Roman"/>
          <w:szCs w:val="32"/>
        </w:rPr>
        <w:t>日</w:t>
      </w:r>
    </w:p>
    <w:p>
      <w:pPr>
        <w:spacing w:line="600" w:lineRule="exact"/>
        <w:rPr>
          <w:rFonts w:eastAsia="方正仿宋_GBK" w:cs="Times New Roman"/>
          <w:szCs w:val="32"/>
        </w:rPr>
      </w:pPr>
    </w:p>
    <w:p>
      <w:pPr>
        <w:pStyle w:val="3"/>
        <w:spacing w:line="600" w:lineRule="exact"/>
        <w:rPr>
          <w:color w:val="auto"/>
        </w:rPr>
      </w:pPr>
      <w:r>
        <w:rPr>
          <w:rFonts w:eastAsia="方正仿宋_GBK" w:cs="Times New Roman"/>
          <w:color w:val="auto"/>
          <w:szCs w:val="32"/>
        </w:rPr>
        <w:t>（此件公开发布）</w:t>
      </w:r>
    </w:p>
    <w:p>
      <w:pPr>
        <w:widowControl/>
        <w:spacing w:line="600" w:lineRule="exact"/>
        <w:rPr>
          <w:rFonts w:eastAsia="方正仿宋_GBK" w:cs="Times New Roman"/>
          <w:szCs w:val="32"/>
        </w:rPr>
      </w:pPr>
      <w:r>
        <w:rPr>
          <w:rFonts w:eastAsia="方正仿宋_GBK" w:cs="Times New Roman"/>
          <w:szCs w:val="32"/>
        </w:rPr>
        <w:br w:type="page"/>
      </w:r>
    </w:p>
    <w:p>
      <w:pPr>
        <w:spacing w:line="560" w:lineRule="exact"/>
        <w:rPr>
          <w:rFonts w:eastAsia="方正小标宋_GBK" w:cs="Times New Roman"/>
          <w:sz w:val="44"/>
          <w:szCs w:val="44"/>
        </w:rPr>
      </w:pPr>
    </w:p>
    <w:p>
      <w:pPr>
        <w:spacing w:line="560" w:lineRule="exact"/>
        <w:jc w:val="center"/>
        <w:rPr>
          <w:rFonts w:eastAsia="方正小标宋_GBK" w:cs="Times New Roman"/>
          <w:sz w:val="44"/>
          <w:szCs w:val="44"/>
        </w:rPr>
      </w:pPr>
      <w:r>
        <w:rPr>
          <w:rFonts w:eastAsia="方正小标宋_GBK" w:cs="Times New Roman"/>
          <w:sz w:val="44"/>
          <w:szCs w:val="44"/>
        </w:rPr>
        <w:t>宿迁市</w:t>
      </w:r>
      <w:r>
        <w:rPr>
          <w:rFonts w:hint="eastAsia" w:eastAsia="方正小标宋_GBK" w:cs="Times New Roman"/>
          <w:sz w:val="44"/>
          <w:szCs w:val="44"/>
        </w:rPr>
        <w:t>“安薪宿迁”</w:t>
      </w:r>
      <w:r>
        <w:rPr>
          <w:rFonts w:eastAsia="方正小标宋_GBK" w:cs="Times New Roman"/>
          <w:sz w:val="44"/>
          <w:szCs w:val="44"/>
        </w:rPr>
        <w:t>专项行动工作方案</w:t>
      </w:r>
    </w:p>
    <w:p>
      <w:pPr>
        <w:spacing w:line="560" w:lineRule="exact"/>
        <w:ind w:firstLine="555"/>
        <w:rPr>
          <w:rFonts w:eastAsia="方正仿宋_GBK" w:cs="Times New Roman"/>
          <w:szCs w:val="32"/>
        </w:rPr>
      </w:pPr>
    </w:p>
    <w:p>
      <w:pPr>
        <w:pStyle w:val="8"/>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为推动《保障农民工工资支付条例》（以下简称《条例》）全面落实落地，充分发挥工资支付保障制度源头预防欠薪重要作用，以更加有力的举措，巩固和提升根治欠薪工作成效，切实筑牢基本民生底线。根据省根治拖欠农民工工资工作领导小组办公室</w:t>
      </w:r>
      <w:r>
        <w:rPr>
          <w:rFonts w:hint="eastAsia" w:ascii="Times New Roman" w:hAnsi="Times New Roman" w:eastAsia="方正仿宋_GBK" w:cs="Times New Roman"/>
          <w:sz w:val="32"/>
          <w:szCs w:val="32"/>
        </w:rPr>
        <w:t>《关于开展工程建设领域“安薪行动”的通知》（苏治欠办发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）文件精神</w:t>
      </w:r>
      <w:r>
        <w:rPr>
          <w:rFonts w:hint="eastAsia" w:ascii="方正仿宋_GBK" w:eastAsia="方正仿宋_GBK"/>
          <w:sz w:val="32"/>
          <w:szCs w:val="32"/>
        </w:rPr>
        <w:t>，决定</w:t>
      </w:r>
      <w:r>
        <w:rPr>
          <w:rFonts w:ascii="Times New Roman" w:hAnsi="Times New Roman" w:eastAsia="方正仿宋_GBK" w:cs="Times New Roman"/>
          <w:sz w:val="32"/>
          <w:szCs w:val="32"/>
        </w:rPr>
        <w:t>自即日起至2024年9月30日在全市开展“安薪宿迁”专项行动</w:t>
      </w:r>
      <w:r>
        <w:rPr>
          <w:rFonts w:hint="eastAsia" w:ascii="Times New Roman" w:hAnsi="Times New Roman" w:eastAsia="方正仿宋_GBK" w:cs="Times New Roman"/>
          <w:sz w:val="32"/>
          <w:szCs w:val="32"/>
        </w:rPr>
        <w:t>，特</w:t>
      </w:r>
      <w:r>
        <w:rPr>
          <w:rFonts w:ascii="Times New Roman" w:hAnsi="Times New Roman" w:eastAsia="方正仿宋_GBK" w:cs="Times New Roman"/>
          <w:sz w:val="32"/>
          <w:szCs w:val="32"/>
        </w:rPr>
        <w:t>制定</w:t>
      </w:r>
      <w:r>
        <w:rPr>
          <w:rFonts w:hint="eastAsia" w:ascii="方正仿宋_GBK" w:eastAsia="方正仿宋_GBK"/>
          <w:sz w:val="32"/>
          <w:szCs w:val="32"/>
        </w:rPr>
        <w:t>实施方案。</w:t>
      </w:r>
    </w:p>
    <w:p>
      <w:pPr>
        <w:pStyle w:val="8"/>
        <w:spacing w:before="0" w:beforeAutospacing="0" w:after="0" w:afterAutospacing="0" w:line="560" w:lineRule="exact"/>
        <w:ind w:firstLine="640" w:firstLineChars="200"/>
        <w:jc w:val="both"/>
        <w:rPr>
          <w:rFonts w:ascii="方正黑体_GBK" w:eastAsia="方正黑体_GBK"/>
        </w:rPr>
      </w:pPr>
      <w:r>
        <w:rPr>
          <w:rFonts w:hint="eastAsia" w:ascii="方正黑体_GBK" w:hAnsi="黑体" w:eastAsia="方正黑体_GBK"/>
          <w:sz w:val="32"/>
          <w:szCs w:val="32"/>
        </w:rPr>
        <w:t>一、行动目标</w:t>
      </w:r>
    </w:p>
    <w:p>
      <w:pPr>
        <w:pStyle w:val="8"/>
        <w:spacing w:before="0" w:beforeAutospacing="0" w:after="0" w:afterAutospacing="0" w:line="560" w:lineRule="exact"/>
        <w:ind w:firstLine="640" w:firstLineChars="200"/>
        <w:jc w:val="both"/>
        <w:rPr>
          <w:rFonts w:ascii="Times New Roman" w:hAnsi="Times New Roman" w:eastAsia="方正仿宋_GBK" w:cs="Times New Roman"/>
        </w:rPr>
      </w:pPr>
      <w:r>
        <w:rPr>
          <w:rFonts w:ascii="Times New Roman" w:hAnsi="Times New Roman" w:eastAsia="方正仿宋_GBK" w:cs="Times New Roman"/>
          <w:sz w:val="32"/>
          <w:szCs w:val="32"/>
        </w:rPr>
        <w:t>深入</w:t>
      </w:r>
      <w:r>
        <w:rPr>
          <w:rFonts w:hint="eastAsia" w:ascii="Times New Roman" w:hAnsi="Times New Roman" w:eastAsia="方正仿宋_GBK" w:cs="Times New Roman"/>
          <w:sz w:val="32"/>
          <w:szCs w:val="32"/>
        </w:rPr>
        <w:t>学习</w:t>
      </w:r>
      <w:r>
        <w:rPr>
          <w:rFonts w:ascii="Times New Roman" w:hAnsi="Times New Roman" w:eastAsia="方正仿宋_GBK" w:cs="Times New Roman"/>
          <w:sz w:val="32"/>
          <w:szCs w:val="32"/>
        </w:rPr>
        <w:t>贯彻</w:t>
      </w:r>
      <w:r>
        <w:rPr>
          <w:rFonts w:hint="eastAsia" w:ascii="Times New Roman" w:hAnsi="Times New Roman" w:eastAsia="方正仿宋_GBK" w:cs="Times New Roman"/>
          <w:sz w:val="32"/>
          <w:szCs w:val="32"/>
        </w:rPr>
        <w:t>习近平总书记关于保障农民工工资支付的重要指示批示精神</w:t>
      </w:r>
      <w:r>
        <w:rPr>
          <w:rFonts w:ascii="Times New Roman" w:hAnsi="Times New Roman" w:eastAsia="方正仿宋_GBK" w:cs="Times New Roman"/>
          <w:sz w:val="32"/>
          <w:szCs w:val="32"/>
        </w:rPr>
        <w:t>，按照源头治理、预防为主、防治结合、标本兼治要求，聚焦工程建设领域工程款支付担保、农民工实名制管理、工资专用账户管理、施工总承包单位代发工资、工资保证金、维权信息公示</w:t>
      </w:r>
      <w:r>
        <w:rPr>
          <w:rFonts w:hint="eastAsia" w:ascii="Times New Roman" w:hAnsi="Times New Roman" w:eastAsia="方正仿宋_GBK" w:cs="Times New Roman"/>
          <w:sz w:val="32"/>
          <w:szCs w:val="32"/>
        </w:rPr>
        <w:t>、工资“月结月清”</w:t>
      </w:r>
      <w:r>
        <w:rPr>
          <w:rFonts w:ascii="Times New Roman" w:hAnsi="Times New Roman" w:eastAsia="方正仿宋_GBK" w:cs="Times New Roman"/>
          <w:sz w:val="32"/>
          <w:szCs w:val="32"/>
        </w:rPr>
        <w:t>等工资支付保障制度，紧盯劳动合同签订、人工费用拨付、工资发放等关键环节，在“抓源头”“治未病”上下功夫，持续推进《条例》及相关配套政策全面覆盖在建工程项目和农民工工资支付各环节，从源头推动拖欠农民工工资问题逐步得到根本治理，切实保障农民工工资报酬权益，维护</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社会大局和谐稳定。</w:t>
      </w:r>
    </w:p>
    <w:p>
      <w:pPr>
        <w:pStyle w:val="8"/>
        <w:spacing w:before="0" w:beforeAutospacing="0" w:after="0" w:afterAutospacing="0" w:line="560" w:lineRule="exact"/>
        <w:ind w:firstLine="640" w:firstLineChars="200"/>
        <w:jc w:val="both"/>
        <w:rPr>
          <w:rFonts w:ascii="方正黑体_GBK" w:hAnsi="Times New Roman" w:eastAsia="方正黑体_GBK" w:cs="Times New Roman"/>
        </w:rPr>
      </w:pPr>
      <w:r>
        <w:rPr>
          <w:rFonts w:hint="eastAsia" w:ascii="方正黑体_GBK" w:hAnsi="Times New Roman" w:eastAsia="方正黑体_GBK" w:cs="Times New Roman"/>
          <w:sz w:val="32"/>
          <w:szCs w:val="32"/>
        </w:rPr>
        <w:t>二、行动内容</w:t>
      </w:r>
    </w:p>
    <w:p>
      <w:pPr>
        <w:pStyle w:val="8"/>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（一）强化宣传培训，营造“安薪”社会氛围。</w:t>
      </w:r>
      <w:r>
        <w:rPr>
          <w:rFonts w:hint="eastAsia" w:ascii="Times New Roman" w:hAnsi="Times New Roman" w:eastAsia="方正仿宋_GBK" w:cs="Times New Roman"/>
          <w:sz w:val="32"/>
          <w:szCs w:val="32"/>
        </w:rPr>
        <w:t>以《条例》出台实施四周年为契机，开展工资保障制度宣传培训月活动，</w:t>
      </w:r>
      <w:r>
        <w:rPr>
          <w:rFonts w:ascii="Times New Roman" w:hAnsi="Times New Roman" w:eastAsia="方正仿宋_GBK" w:cs="Times New Roman"/>
          <w:sz w:val="32"/>
          <w:szCs w:val="32"/>
        </w:rPr>
        <w:t>充分利用微信</w:t>
      </w:r>
      <w:r>
        <w:rPr>
          <w:rFonts w:hint="eastAsia" w:ascii="Times New Roman" w:hAnsi="Times New Roman" w:eastAsia="方正仿宋_GBK" w:cs="Times New Roman"/>
          <w:sz w:val="32"/>
          <w:szCs w:val="32"/>
        </w:rPr>
        <w:t>公众号</w:t>
      </w:r>
      <w:r>
        <w:rPr>
          <w:rFonts w:ascii="Times New Roman" w:hAnsi="Times New Roman" w:eastAsia="方正仿宋_GBK" w:cs="Times New Roman"/>
          <w:sz w:val="32"/>
          <w:szCs w:val="32"/>
        </w:rPr>
        <w:t>、官方网站和社会新媒体等</w:t>
      </w:r>
      <w:r>
        <w:rPr>
          <w:rFonts w:hint="eastAsia" w:ascii="Times New Roman" w:hAnsi="Times New Roman" w:eastAsia="方正仿宋_GBK" w:cs="Times New Roman"/>
          <w:sz w:val="32"/>
          <w:szCs w:val="32"/>
        </w:rPr>
        <w:t>渠道</w:t>
      </w:r>
      <w:r>
        <w:rPr>
          <w:rFonts w:ascii="Times New Roman" w:hAnsi="Times New Roman" w:eastAsia="方正仿宋_GBK" w:cs="Times New Roman"/>
          <w:sz w:val="32"/>
          <w:szCs w:val="32"/>
        </w:rPr>
        <w:t>滚动宣传，在零工市场、招聘现场广泛宣传劳动保障法律法规和根治欠薪工作举措，在公交车站、社区宣传栏，张贴宣传海报，形成综合性宣传声势。深入企业、项目现场、社区，加强对保障农民工工资支付的法规宣传和指导，帮助企业梳理潜在欠薪风险。组织项目负责人和劳资专管员，</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“开工第一课”培训，讲解工资支付制度落实要求，确保企业</w:t>
      </w:r>
      <w:r>
        <w:rPr>
          <w:rFonts w:hint="eastAsia" w:ascii="Times New Roman" w:hAnsi="Times New Roman" w:eastAsia="方正仿宋_GBK" w:cs="Times New Roman"/>
          <w:sz w:val="32"/>
          <w:szCs w:val="32"/>
        </w:rPr>
        <w:t>能</w:t>
      </w:r>
      <w:r>
        <w:rPr>
          <w:rFonts w:ascii="Times New Roman" w:hAnsi="Times New Roman" w:eastAsia="方正仿宋_GBK" w:cs="Times New Roman"/>
          <w:sz w:val="32"/>
          <w:szCs w:val="32"/>
        </w:rPr>
        <w:t>领会并落实到位。</w:t>
      </w:r>
    </w:p>
    <w:p>
      <w:pPr>
        <w:pStyle w:val="8"/>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（二）全面排查检查，提升“安薪”预警效能。</w:t>
      </w:r>
      <w:r>
        <w:rPr>
          <w:rFonts w:ascii="Times New Roman" w:hAnsi="Times New Roman" w:eastAsia="方正仿宋_GBK" w:cs="Times New Roman"/>
          <w:sz w:val="32"/>
          <w:szCs w:val="32"/>
        </w:rPr>
        <w:t>发挥国家和省市根治欠薪线索反映平台等监测预判功能，充分运用宿迁市农民工工资支付监控预警系统，精准摸排、</w:t>
      </w:r>
      <w:r>
        <w:rPr>
          <w:rFonts w:hint="eastAsia" w:ascii="Times New Roman" w:hAnsi="Times New Roman" w:eastAsia="方正仿宋_GBK" w:cs="Times New Roman"/>
          <w:sz w:val="32"/>
          <w:szCs w:val="32"/>
        </w:rPr>
        <w:t>提前</w:t>
      </w:r>
      <w:r>
        <w:rPr>
          <w:rFonts w:ascii="Times New Roman" w:hAnsi="Times New Roman" w:eastAsia="方正仿宋_GBK" w:cs="Times New Roman"/>
          <w:sz w:val="32"/>
          <w:szCs w:val="32"/>
        </w:rPr>
        <w:t>预警欠薪举报投诉线索量大、工程款拨付和工资支付异常的重点</w:t>
      </w:r>
      <w:r>
        <w:rPr>
          <w:rFonts w:hint="eastAsia" w:ascii="Times New Roman" w:hAnsi="Times New Roman" w:eastAsia="方正仿宋_GBK" w:cs="Times New Roman"/>
          <w:sz w:val="32"/>
          <w:szCs w:val="32"/>
        </w:rPr>
        <w:t>项目和工业</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动态掌握风险底数，</w:t>
      </w:r>
      <w:r>
        <w:rPr>
          <w:rFonts w:ascii="Times New Roman" w:hAnsi="Times New Roman" w:eastAsia="方正仿宋_GBK" w:cs="Times New Roman"/>
          <w:sz w:val="32"/>
          <w:szCs w:val="32"/>
        </w:rPr>
        <w:t>争取发现在先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化解在前</w:t>
      </w:r>
      <w:r>
        <w:rPr>
          <w:rFonts w:hint="eastAsia" w:ascii="Times New Roman" w:hAnsi="Times New Roman" w:eastAsia="方正仿宋_GBK" w:cs="Times New Roman"/>
          <w:sz w:val="32"/>
          <w:szCs w:val="32"/>
        </w:rPr>
        <w:t>。提高省、市根治欠薪线索反映平台的处置效能，确保第一时间回应，将欠薪问题吸附在属地。进一步深化</w:t>
      </w:r>
      <w:r>
        <w:rPr>
          <w:rFonts w:ascii="Times New Roman" w:hAnsi="Times New Roman" w:eastAsia="方正仿宋_GBK" w:cs="Times New Roman"/>
          <w:sz w:val="32"/>
          <w:szCs w:val="32"/>
        </w:rPr>
        <w:t>包片</w:t>
      </w:r>
      <w:r>
        <w:rPr>
          <w:rFonts w:hint="eastAsia" w:ascii="Times New Roman" w:hAnsi="Times New Roman" w:eastAsia="方正仿宋_GBK" w:cs="Times New Roman"/>
          <w:sz w:val="32"/>
          <w:szCs w:val="32"/>
        </w:rPr>
        <w:t>联系</w:t>
      </w:r>
      <w:r>
        <w:rPr>
          <w:rFonts w:ascii="Times New Roman" w:hAnsi="Times New Roman" w:eastAsia="方正仿宋_GBK" w:cs="Times New Roman"/>
          <w:sz w:val="32"/>
          <w:szCs w:val="32"/>
        </w:rPr>
        <w:t>制度，</w:t>
      </w:r>
      <w:r>
        <w:rPr>
          <w:rFonts w:hint="eastAsia" w:ascii="Times New Roman" w:hAnsi="Times New Roman" w:eastAsia="方正仿宋_GBK" w:cs="Times New Roman"/>
          <w:sz w:val="32"/>
          <w:szCs w:val="32"/>
        </w:rPr>
        <w:t>深入</w:t>
      </w:r>
      <w:r>
        <w:rPr>
          <w:rFonts w:ascii="Times New Roman" w:hAnsi="Times New Roman" w:eastAsia="方正仿宋_GBK" w:cs="Times New Roman"/>
          <w:sz w:val="32"/>
          <w:szCs w:val="32"/>
        </w:rPr>
        <w:t>推进网格化管理，督促指导做好工资“月结月清”工作，严审入场关，严抓考勤管控，严把支付关。</w:t>
      </w:r>
    </w:p>
    <w:p>
      <w:pPr>
        <w:spacing w:line="600" w:lineRule="exact"/>
        <w:ind w:firstLine="640" w:firstLineChars="200"/>
        <w:rPr>
          <w:rFonts w:eastAsia="方正仿宋_GBK" w:cs="Times New Roman"/>
          <w:kern w:val="0"/>
          <w:szCs w:val="32"/>
        </w:rPr>
      </w:pPr>
      <w:r>
        <w:rPr>
          <w:rFonts w:hint="eastAsia" w:ascii="方正楷体_GBK" w:eastAsia="方正楷体_GBK" w:cs="Times New Roman"/>
          <w:szCs w:val="32"/>
        </w:rPr>
        <w:t>（三）打造标杆项目，推进“安薪”示范建设。</w:t>
      </w:r>
      <w:r>
        <w:rPr>
          <w:rFonts w:hint="eastAsia" w:eastAsia="方正仿宋_GBK" w:cs="Times New Roman"/>
          <w:kern w:val="0"/>
          <w:szCs w:val="32"/>
        </w:rPr>
        <w:t>各地</w:t>
      </w:r>
      <w:r>
        <w:rPr>
          <w:rFonts w:eastAsia="方正仿宋_GBK" w:cs="Times New Roman"/>
          <w:kern w:val="0"/>
          <w:szCs w:val="32"/>
        </w:rPr>
        <w:t>要按照</w:t>
      </w:r>
      <w:r>
        <w:rPr>
          <w:rFonts w:hint="eastAsia" w:eastAsia="方正仿宋_GBK" w:cs="Times New Roman"/>
          <w:kern w:val="0"/>
          <w:szCs w:val="32"/>
        </w:rPr>
        <w:t>省、市相关要求，培育打造一批标杆项目，培育范围包含所有政府、国企投资项目；其他在建工程项目不低于总量的20%。各地要强化标杆项目管理，采取“人盯项目”的形式监督指导，人社、行业主管部门至少各派一名工作人员负责督促落实，项目和负责人员名单于5月底前上报市领导小组办公室。各地要紧抓关键节点检查，在每月工资支付节点上门指导检查，突出检查劳动合同签订、实名制登记管理、按月核算工作量、按实制定和审核工资表、按月足额拨付人工费等重点内容，确保农民工工资标准清、工作量清、工资数额清。</w:t>
      </w:r>
    </w:p>
    <w:p>
      <w:pPr>
        <w:spacing w:line="600" w:lineRule="exact"/>
        <w:ind w:firstLine="640" w:firstLineChars="200"/>
      </w:pPr>
      <w:r>
        <w:rPr>
          <w:rFonts w:hint="eastAsia" w:ascii="方正楷体_GBK" w:eastAsia="方正楷体_GBK" w:cs="Times New Roman"/>
          <w:szCs w:val="32"/>
        </w:rPr>
        <w:t>（四）加大处置力度，提升“安薪”工作质效。</w:t>
      </w:r>
      <w:r>
        <w:rPr>
          <w:rFonts w:eastAsia="方正仿宋_GBK" w:cs="Times New Roman"/>
          <w:szCs w:val="32"/>
        </w:rPr>
        <w:t>聚焦</w:t>
      </w:r>
      <w:r>
        <w:rPr>
          <w:rFonts w:hint="eastAsia" w:eastAsia="方正仿宋_GBK" w:cs="Times New Roman"/>
          <w:szCs w:val="32"/>
        </w:rPr>
        <w:t>宿迁市</w:t>
      </w:r>
      <w:r>
        <w:rPr>
          <w:rFonts w:eastAsia="方正仿宋_GBK" w:cs="Times New Roman"/>
          <w:szCs w:val="32"/>
        </w:rPr>
        <w:t>农民工工资支付监控</w:t>
      </w:r>
      <w:r>
        <w:rPr>
          <w:rFonts w:hint="eastAsia" w:eastAsia="方正仿宋_GBK" w:cs="Times New Roman"/>
          <w:szCs w:val="32"/>
        </w:rPr>
        <w:t>预警平台</w:t>
      </w:r>
      <w:r>
        <w:rPr>
          <w:rFonts w:eastAsia="方正仿宋_GBK" w:cs="Times New Roman"/>
          <w:szCs w:val="32"/>
        </w:rPr>
        <w:t>预警信息和各类渠道反映问题集中的重点工程项目，开展有针对性的现场检查，提高问题发现率、处置完成率。</w:t>
      </w:r>
      <w:r>
        <w:rPr>
          <w:rFonts w:hint="eastAsia" w:eastAsia="方正仿宋_GBK" w:cs="Times New Roman"/>
          <w:szCs w:val="32"/>
        </w:rPr>
        <w:t>加快“宿安薪”二维码、“宿迁根治欠薪线索反映平台”小程序</w:t>
      </w:r>
      <w:r>
        <w:rPr>
          <w:rFonts w:eastAsia="方正仿宋_GBK" w:cs="Times New Roman"/>
          <w:szCs w:val="32"/>
        </w:rPr>
        <w:t>诉求办理质效，防止欠薪问题外溢上行。强化落实“一案双查”制度，对在建工程项目发生欠薪案件的，在查清欠薪情况同时，倒查工资支付保障制度落实情况；在督促整改欠薪问题同时，督促项目同步整改制度未落</w:t>
      </w:r>
      <w:bookmarkStart w:id="0" w:name="_GoBack"/>
      <w:bookmarkEnd w:id="0"/>
      <w:r>
        <w:rPr>
          <w:rFonts w:eastAsia="方正仿宋_GBK" w:cs="Times New Roman"/>
          <w:szCs w:val="32"/>
        </w:rPr>
        <w:t>实问题。充分利用劳动仲裁的</w:t>
      </w:r>
      <w:r>
        <w:rPr>
          <w:rFonts w:hint="eastAsia" w:eastAsia="方正仿宋_GBK" w:cs="Times New Roman"/>
          <w:szCs w:val="32"/>
        </w:rPr>
        <w:t>快立、快调、快审、快结机制，整合司法、工会等部门力量，</w:t>
      </w:r>
      <w:r>
        <w:rPr>
          <w:rFonts w:eastAsia="方正仿宋_GBK" w:cs="Times New Roman"/>
          <w:szCs w:val="32"/>
        </w:rPr>
        <w:t>拓宽劳动者诉求表达渠道，</w:t>
      </w:r>
      <w:r>
        <w:rPr>
          <w:rFonts w:hint="eastAsia" w:eastAsia="方正仿宋_GBK" w:cs="Times New Roman"/>
          <w:szCs w:val="32"/>
        </w:rPr>
        <w:t>多元化解农民工工资争议</w:t>
      </w:r>
      <w:r>
        <w:rPr>
          <w:rFonts w:eastAsia="方正仿宋_GBK" w:cs="Times New Roman"/>
          <w:szCs w:val="32"/>
        </w:rPr>
        <w:t>。</w:t>
      </w:r>
    </w:p>
    <w:p>
      <w:pPr>
        <w:pStyle w:val="8"/>
        <w:spacing w:before="0" w:beforeAutospacing="0" w:after="0" w:afterAutospacing="0" w:line="600" w:lineRule="exact"/>
        <w:ind w:firstLine="640" w:firstLineChars="200"/>
        <w:jc w:val="both"/>
        <w:rPr>
          <w:rFonts w:ascii="Times New Roman" w:hAnsi="Times New Roman" w:eastAsia="方正仿宋_GBK" w:cs="Times New Roman"/>
          <w:color w:val="FF0000"/>
          <w:sz w:val="32"/>
          <w:szCs w:val="32"/>
        </w:rPr>
      </w:pPr>
      <w:r>
        <w:rPr>
          <w:rFonts w:hint="eastAsia" w:ascii="方正楷体_GBK" w:hAnsi="方正楷体_GBK" w:eastAsia="方正楷体_GBK" w:cs="方正楷体_GBK"/>
          <w:sz w:val="32"/>
          <w:szCs w:val="32"/>
        </w:rPr>
        <w:t>（五）协同联动治欠，打出“安薪”组合拳。</w:t>
      </w:r>
      <w:r>
        <w:rPr>
          <w:rFonts w:hint="eastAsia" w:ascii="Times New Roman" w:hAnsi="Times New Roman" w:eastAsia="方正仿宋_GBK" w:cs="Times New Roman"/>
          <w:sz w:val="32"/>
          <w:szCs w:val="32"/>
        </w:rPr>
        <w:t>各地要充分发挥根治拖欠农民工工资工作领导小组作用，加强统筹协调和部门协同监管，抽调精干力量组成联合检查组，对辖区内在建工程项目进行逐一逐项检查，摸清制度落实底数，对制度不落实等行为，严肃查处、限期整改，确保制度执行到位。要运用好宿迁市农民工工资支付监控预警系统的预警监测功能，提高信息化管理水平。人力资源社会保障部门切实履行牵头抓总职能，发展改革、财政、住房城乡建设、交通运输、水利等部门和金融机构及时共享工程建设项目立项审批、资金落实、施工许可、劳动用工、工资支付等信息，动态监控制度运行情况，精准预警处置欠薪风险。要强化重点督查督导，聚焦制度推动较慢、欠薪线索量大、增速快的重点地区，通过专项督导、驻点督办等方式，加大工作推进力度，切实推动各项制度"全覆盖、实运转"。</w:t>
      </w:r>
    </w:p>
    <w:p>
      <w:pPr>
        <w:spacing w:line="600" w:lineRule="exact"/>
        <w:ind w:firstLine="640" w:firstLineChars="200"/>
        <w:rPr>
          <w:rFonts w:eastAsia="方正仿宋_GBK" w:cs="Times New Roman"/>
          <w:szCs w:val="32"/>
        </w:rPr>
      </w:pPr>
      <w:r>
        <w:rPr>
          <w:rFonts w:hint="eastAsia" w:ascii="方正楷体_GBK" w:eastAsia="方正楷体_GBK" w:cs="Times New Roman"/>
          <w:szCs w:val="32"/>
        </w:rPr>
        <w:t>（六）强化考评考核，织密“安薪”制度保障网。</w:t>
      </w:r>
      <w:r>
        <w:rPr>
          <w:rFonts w:hint="eastAsia" w:eastAsia="方正仿宋_GBK" w:cs="Times New Roman"/>
          <w:szCs w:val="32"/>
        </w:rPr>
        <w:t>保障农民工工资</w:t>
      </w:r>
      <w:r>
        <w:rPr>
          <w:rFonts w:hint="eastAsia" w:eastAsia="方正仿宋_GBK" w:cs="Times New Roman"/>
          <w:kern w:val="0"/>
          <w:szCs w:val="32"/>
        </w:rPr>
        <w:t>支付工作是国家、省专</w:t>
      </w:r>
      <w:r>
        <w:rPr>
          <w:rFonts w:hint="eastAsia" w:eastAsia="方正仿宋_GBK" w:cs="Times New Roman"/>
          <w:szCs w:val="32"/>
        </w:rPr>
        <w:t>项考核和市高质量考核重要内容之一，各地要高站位谋划、高标准部署、高质量推进，对照考核办法、考核指标，全面梳理工作成效，对标对表查摆存在的不足与问题，细化分解各项任务，明确各部门职责，形成工作任务清单，在履职尽责中担当作为，以强有力的措施确保各项工作扎实有效推进。</w:t>
      </w:r>
    </w:p>
    <w:p>
      <w:pPr>
        <w:pStyle w:val="8"/>
        <w:spacing w:before="0" w:beforeAutospacing="0" w:after="0" w:afterAutospacing="0" w:line="600" w:lineRule="exact"/>
        <w:ind w:firstLine="640" w:firstLineChars="200"/>
        <w:jc w:val="both"/>
        <w:rPr>
          <w:rFonts w:ascii="Times New Roman" w:hAnsi="Times New Roman" w:eastAsia="方正仿宋_GBK" w:cs="Times New Roman"/>
        </w:rPr>
      </w:pPr>
      <w:r>
        <w:rPr>
          <w:rFonts w:hint="eastAsia" w:ascii="方正黑体_GBK" w:hAnsi="Times New Roman" w:eastAsia="方正黑体_GBK" w:cs="Times New Roman"/>
          <w:sz w:val="32"/>
          <w:szCs w:val="32"/>
        </w:rPr>
        <w:t>三、行动时间安排</w:t>
      </w:r>
    </w:p>
    <w:p>
      <w:pPr>
        <w:pStyle w:val="8"/>
        <w:spacing w:before="0" w:beforeAutospacing="0" w:after="0" w:afterAutospacing="0" w:line="600" w:lineRule="exact"/>
        <w:ind w:firstLine="640" w:firstLineChars="200"/>
        <w:jc w:val="both"/>
        <w:rPr>
          <w:rFonts w:ascii="Times New Roman" w:hAnsi="Times New Roman" w:eastAsia="方正仿宋_GBK" w:cs="Times New Roman"/>
        </w:rPr>
      </w:pPr>
      <w:r>
        <w:rPr>
          <w:rFonts w:hint="eastAsia" w:ascii="方正楷体_GBK" w:hAnsi="Times New Roman" w:eastAsia="方正楷体_GBK" w:cs="Times New Roman"/>
          <w:sz w:val="32"/>
          <w:szCs w:val="32"/>
        </w:rPr>
        <w:t>（一）宣传指导阶段</w:t>
      </w:r>
      <w:r>
        <w:rPr>
          <w:rFonts w:hint="eastAsia" w:ascii="Times New Roman" w:hAnsi="Times New Roman" w:eastAsia="方正仿宋_GBK" w:cs="Times New Roman"/>
          <w:kern w:val="2"/>
          <w:sz w:val="32"/>
          <w:szCs w:val="32"/>
        </w:rPr>
        <w:t>（即日起至6月6日）。</w:t>
      </w:r>
      <w:r>
        <w:rPr>
          <w:rFonts w:hint="eastAsia" w:ascii="Times New Roman" w:hAnsi="Times New Roman" w:eastAsia="方正仿宋_GBK" w:cs="Times New Roman"/>
          <w:sz w:val="32"/>
          <w:szCs w:val="32"/>
        </w:rPr>
        <w:t>各地</w:t>
      </w:r>
      <w:r>
        <w:rPr>
          <w:rFonts w:ascii="Times New Roman" w:hAnsi="Times New Roman" w:eastAsia="方正仿宋_GBK" w:cs="Times New Roman"/>
          <w:sz w:val="32"/>
          <w:szCs w:val="32"/>
        </w:rPr>
        <w:t>结合工作实际制定</w:t>
      </w:r>
      <w:r>
        <w:rPr>
          <w:rFonts w:hint="eastAsia" w:ascii="Times New Roman" w:hAnsi="Times New Roman" w:eastAsia="方正仿宋_GBK" w:cs="Times New Roman"/>
          <w:sz w:val="32"/>
          <w:szCs w:val="32"/>
        </w:rPr>
        <w:t>本次</w:t>
      </w:r>
      <w:r>
        <w:rPr>
          <w:rFonts w:ascii="Times New Roman" w:hAnsi="Times New Roman" w:eastAsia="方正仿宋_GBK" w:cs="Times New Roman"/>
          <w:sz w:val="32"/>
          <w:szCs w:val="32"/>
        </w:rPr>
        <w:t>专项行动宣传方案，明确宣传要求、宣传方向。适时开展全媒体宣传，及时正面发声，营造劳动者知权维权、用人单位遵法守法的社会氛围。全面排查</w:t>
      </w:r>
      <w:r>
        <w:rPr>
          <w:rFonts w:hint="eastAsia" w:ascii="Times New Roman" w:hAnsi="Times New Roman" w:eastAsia="方正仿宋_GBK" w:cs="Times New Roman"/>
          <w:sz w:val="32"/>
          <w:szCs w:val="32"/>
        </w:rPr>
        <w:t>辖区内在建工程项目</w:t>
      </w:r>
      <w:r>
        <w:rPr>
          <w:rFonts w:ascii="Times New Roman" w:hAnsi="Times New Roman" w:eastAsia="方正仿宋_GBK" w:cs="Times New Roman"/>
          <w:sz w:val="32"/>
          <w:szCs w:val="32"/>
        </w:rPr>
        <w:t>保障农民工工资支付制度落实情况，</w:t>
      </w:r>
      <w:r>
        <w:rPr>
          <w:rFonts w:hint="eastAsia" w:ascii="Times New Roman" w:hAnsi="Times New Roman" w:eastAsia="方正仿宋_GBK" w:cs="Times New Roman"/>
          <w:sz w:val="32"/>
          <w:szCs w:val="32"/>
        </w:rPr>
        <w:t>通过组织在建工程建设项目各用工单位进行集中宣讲、开展实地督导送法上门等方式</w:t>
      </w:r>
      <w:r>
        <w:rPr>
          <w:rFonts w:ascii="Times New Roman" w:hAnsi="Times New Roman" w:eastAsia="方正仿宋_GBK" w:cs="Times New Roman"/>
          <w:sz w:val="32"/>
          <w:szCs w:val="32"/>
        </w:rPr>
        <w:t>，督导指导施工企业开展自查自纠，消除欠薪风险隐患。</w:t>
      </w:r>
    </w:p>
    <w:p>
      <w:pPr>
        <w:spacing w:line="600" w:lineRule="exact"/>
        <w:ind w:firstLine="640" w:firstLineChars="200"/>
        <w:rPr>
          <w:rFonts w:eastAsia="方正仿宋_GBK" w:cs="Times New Roman"/>
        </w:rPr>
      </w:pPr>
      <w:r>
        <w:rPr>
          <w:rFonts w:hint="eastAsia" w:ascii="方正楷体_GBK" w:eastAsia="方正楷体_GBK" w:cs="Times New Roman"/>
          <w:szCs w:val="32"/>
        </w:rPr>
        <w:t>（二）检查督查阶段</w:t>
      </w:r>
      <w:r>
        <w:rPr>
          <w:rFonts w:hint="eastAsia" w:eastAsia="方正仿宋_GBK" w:cs="Times New Roman"/>
          <w:szCs w:val="32"/>
        </w:rPr>
        <w:t>（2024年6月7日至9月14日）。各地根据工作安排，组织联合检查组对辖区内所有在建工程项目开展联合检查，聚焦保障农民工工资支付制度落实情况，严查人工费用拨付、劳动合同签订、实名制考勤、工资表制作、总包代发等关键环节，全面规范农民工工资支付标准化管理。针对标杆项目提供全方位指导与服务，确保标杆项目打造成功。市根治拖欠农民工工资工作领导</w:t>
      </w:r>
      <w:r>
        <w:rPr>
          <w:rFonts w:eastAsia="方正仿宋_GBK" w:cs="Times New Roman"/>
          <w:szCs w:val="32"/>
        </w:rPr>
        <w:t>小组办公室</w:t>
      </w:r>
      <w:r>
        <w:rPr>
          <w:rFonts w:hint="eastAsia" w:eastAsia="方正仿宋_GBK" w:cs="Times New Roman"/>
          <w:szCs w:val="32"/>
        </w:rPr>
        <w:t>将根据工作安排，</w:t>
      </w:r>
      <w:r>
        <w:rPr>
          <w:rFonts w:eastAsia="方正仿宋_GBK" w:cs="Times New Roman"/>
          <w:szCs w:val="32"/>
        </w:rPr>
        <w:t>组织联合执法检查</w:t>
      </w:r>
      <w:r>
        <w:rPr>
          <w:rFonts w:hint="eastAsia" w:eastAsia="方正仿宋_GBK" w:cs="Times New Roman"/>
          <w:szCs w:val="32"/>
        </w:rPr>
        <w:t>督导</w:t>
      </w:r>
      <w:r>
        <w:rPr>
          <w:rFonts w:eastAsia="方正仿宋_GBK" w:cs="Times New Roman"/>
          <w:szCs w:val="32"/>
        </w:rPr>
        <w:t>组，</w:t>
      </w:r>
      <w:r>
        <w:rPr>
          <w:rFonts w:hint="eastAsia" w:eastAsia="方正仿宋_GBK" w:cs="Times New Roman"/>
          <w:szCs w:val="32"/>
        </w:rPr>
        <w:t>抽取各地在建</w:t>
      </w:r>
      <w:r>
        <w:rPr>
          <w:rFonts w:eastAsia="方正仿宋_GBK" w:cs="Times New Roman"/>
          <w:szCs w:val="32"/>
        </w:rPr>
        <w:t>工程项目开展</w:t>
      </w:r>
      <w:r>
        <w:rPr>
          <w:rFonts w:hint="eastAsia" w:eastAsia="方正仿宋_GBK" w:cs="Times New Roman"/>
          <w:szCs w:val="32"/>
        </w:rPr>
        <w:t>督导</w:t>
      </w:r>
      <w:r>
        <w:rPr>
          <w:rFonts w:eastAsia="方正仿宋_GBK" w:cs="Times New Roman"/>
          <w:szCs w:val="32"/>
        </w:rPr>
        <w:t>检查，</w:t>
      </w:r>
      <w:r>
        <w:rPr>
          <w:rFonts w:eastAsia="方正仿宋_GBK"/>
          <w:szCs w:val="32"/>
        </w:rPr>
        <w:t>对督查过程中发现的问题</w:t>
      </w:r>
      <w:r>
        <w:rPr>
          <w:rFonts w:hint="eastAsia" w:eastAsia="方正仿宋_GBK"/>
          <w:szCs w:val="32"/>
        </w:rPr>
        <w:t>通过工作提示、现场</w:t>
      </w:r>
      <w:r>
        <w:rPr>
          <w:rFonts w:eastAsia="方正仿宋_GBK"/>
          <w:szCs w:val="32"/>
        </w:rPr>
        <w:t>交办</w:t>
      </w:r>
      <w:r>
        <w:rPr>
          <w:rFonts w:hint="eastAsia" w:eastAsia="方正仿宋_GBK"/>
          <w:szCs w:val="32"/>
        </w:rPr>
        <w:t>等形式督促属地及相关部门推动项目问题整改</w:t>
      </w:r>
      <w:r>
        <w:rPr>
          <w:rFonts w:hint="eastAsia" w:eastAsia="方正仿宋_GBK" w:cs="Times New Roman"/>
          <w:szCs w:val="32"/>
        </w:rPr>
        <w:t>。</w:t>
      </w:r>
    </w:p>
    <w:p>
      <w:pPr>
        <w:pStyle w:val="8"/>
        <w:spacing w:before="0" w:beforeAutospacing="0" w:after="0" w:afterAutospacing="0" w:line="600" w:lineRule="exact"/>
        <w:ind w:firstLine="640" w:firstLineChars="200"/>
        <w:jc w:val="both"/>
        <w:rPr>
          <w:rFonts w:ascii="Times New Roman" w:hAnsi="Times New Roman" w:eastAsia="方正仿宋_GBK" w:cs="Times New Roman"/>
        </w:rPr>
      </w:pPr>
      <w:r>
        <w:rPr>
          <w:rFonts w:hint="eastAsia" w:ascii="方正楷体_GBK" w:hAnsi="Times New Roman" w:eastAsia="方正楷体_GBK" w:cs="Times New Roman"/>
          <w:sz w:val="32"/>
          <w:szCs w:val="32"/>
        </w:rPr>
        <w:t>（三）巩固深化阶段（2024年9月15日至9月30日）。</w:t>
      </w:r>
      <w:r>
        <w:rPr>
          <w:rFonts w:hint="eastAsia" w:ascii="Times New Roman" w:hAnsi="Times New Roman" w:eastAsia="方正仿宋_GBK" w:cs="Times New Roman"/>
          <w:sz w:val="32"/>
          <w:szCs w:val="32"/>
        </w:rPr>
        <w:t>各地</w:t>
      </w:r>
      <w:r>
        <w:rPr>
          <w:rFonts w:ascii="Times New Roman" w:hAnsi="Times New Roman" w:eastAsia="方正仿宋_GBK" w:cs="Times New Roman"/>
          <w:sz w:val="32"/>
          <w:szCs w:val="32"/>
        </w:rPr>
        <w:t>总结专项行动开展情况、取得成效、经验做法、存在问题和意见建议，完善现有根治欠薪制度机制，深化治理成果运用，进一步改进工作。</w:t>
      </w:r>
    </w:p>
    <w:p>
      <w:pPr>
        <w:pStyle w:val="8"/>
        <w:spacing w:before="0" w:beforeAutospacing="0" w:after="0" w:afterAutospacing="0" w:line="600" w:lineRule="exact"/>
        <w:ind w:firstLine="640" w:firstLineChars="200"/>
        <w:jc w:val="both"/>
        <w:rPr>
          <w:rFonts w:ascii="Times New Roman" w:hAnsi="Times New Roman" w:eastAsia="方正仿宋_GBK" w:cs="Times New Roman"/>
        </w:rPr>
      </w:pPr>
      <w:r>
        <w:rPr>
          <w:rFonts w:hint="eastAsia" w:ascii="方正黑体_GBK" w:hAnsi="Times New Roman" w:eastAsia="方正黑体_GBK" w:cs="Times New Roman"/>
          <w:sz w:val="32"/>
          <w:szCs w:val="32"/>
        </w:rPr>
        <w:t>四、工作要求</w:t>
      </w:r>
    </w:p>
    <w:p>
      <w:pPr>
        <w:pStyle w:val="8"/>
        <w:spacing w:before="0" w:beforeAutospacing="0" w:after="0" w:afterAutospacing="0" w:line="600" w:lineRule="exact"/>
        <w:ind w:firstLine="640" w:firstLineChars="200"/>
        <w:jc w:val="both"/>
        <w:rPr>
          <w:rFonts w:ascii="Times New Roman" w:hAnsi="Times New Roman" w:eastAsia="方正仿宋_GBK" w:cs="Times New Roman"/>
        </w:rPr>
      </w:pPr>
      <w:r>
        <w:rPr>
          <w:rFonts w:hint="eastAsia" w:ascii="方正楷体_GBK" w:hAnsi="Times New Roman" w:eastAsia="方正楷体_GBK" w:cs="Times New Roman"/>
          <w:sz w:val="32"/>
          <w:szCs w:val="32"/>
        </w:rPr>
        <w:t>（一）加强组织领导。</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地要</w:t>
      </w:r>
      <w:r>
        <w:rPr>
          <w:rFonts w:ascii="Times New Roman" w:hAnsi="Times New Roman" w:eastAsia="方正仿宋_GBK" w:cs="Times New Roman"/>
          <w:sz w:val="32"/>
          <w:szCs w:val="32"/>
        </w:rPr>
        <w:t>充分认识落实工资支付保障制度在保障农民工工资支付工作中的重要性，围绕工资支付保障制度“全覆盖、实运转”目标，加强统筹协调，加强宣传培训和执法检查，确保专项行动目标任务完成，切实维护农民工合法权益。</w:t>
      </w:r>
    </w:p>
    <w:p>
      <w:pPr>
        <w:pStyle w:val="8"/>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sz w:val="32"/>
          <w:szCs w:val="32"/>
        </w:rPr>
        <w:t>（二）推动责任落实。</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地、各</w:t>
      </w:r>
      <w:r>
        <w:rPr>
          <w:rFonts w:ascii="Times New Roman" w:hAnsi="Times New Roman" w:eastAsia="方正仿宋_GBK" w:cs="Times New Roman"/>
          <w:sz w:val="32"/>
          <w:szCs w:val="32"/>
        </w:rPr>
        <w:t>成员单位要强化大局意识、系统观念，</w:t>
      </w:r>
      <w:r>
        <w:rPr>
          <w:rFonts w:hint="eastAsia" w:ascii="Times New Roman" w:hAnsi="Times New Roman" w:eastAsia="方正仿宋_GBK" w:cs="Times New Roman"/>
          <w:sz w:val="32"/>
          <w:szCs w:val="32"/>
        </w:rPr>
        <w:t>完善</w:t>
      </w:r>
      <w:r>
        <w:rPr>
          <w:rFonts w:ascii="Times New Roman" w:hAnsi="Times New Roman" w:eastAsia="方正仿宋_GBK" w:cs="Times New Roman"/>
          <w:sz w:val="32"/>
          <w:szCs w:val="32"/>
        </w:rPr>
        <w:t>人社、住建</w:t>
      </w:r>
      <w:r>
        <w:rPr>
          <w:rFonts w:hint="eastAsia" w:ascii="Times New Roman" w:hAnsi="Times New Roman" w:eastAsia="方正仿宋_GBK" w:cs="Times New Roman"/>
          <w:sz w:val="32"/>
          <w:szCs w:val="32"/>
        </w:rPr>
        <w:t>、交通、水利</w:t>
      </w:r>
      <w:r>
        <w:rPr>
          <w:rFonts w:ascii="Times New Roman" w:hAnsi="Times New Roman" w:eastAsia="方正仿宋_GBK" w:cs="Times New Roman"/>
          <w:sz w:val="32"/>
          <w:szCs w:val="32"/>
        </w:rPr>
        <w:t>等部门</w:t>
      </w:r>
      <w:r>
        <w:rPr>
          <w:rFonts w:hint="eastAsia" w:ascii="Times New Roman" w:hAnsi="Times New Roman" w:eastAsia="方正仿宋_GBK" w:cs="Times New Roman"/>
          <w:sz w:val="32"/>
          <w:szCs w:val="32"/>
        </w:rPr>
        <w:t>协同合作机制，</w:t>
      </w:r>
      <w:r>
        <w:rPr>
          <w:rFonts w:ascii="Times New Roman" w:hAnsi="Times New Roman" w:eastAsia="方正仿宋_GBK" w:cs="Times New Roman"/>
          <w:sz w:val="32"/>
          <w:szCs w:val="32"/>
        </w:rPr>
        <w:t>用足用好各项治欠措施，形成根治欠薪工作合力，推动欠薪问题妥善解决，促进企业规范劳动用工，落实工资支付主体责任，维护劳动者工资报酬权益。</w:t>
      </w:r>
    </w:p>
    <w:p>
      <w:pPr>
        <w:pStyle w:val="8"/>
        <w:spacing w:before="0" w:beforeAutospacing="0" w:after="0" w:afterAutospacing="0" w:line="600" w:lineRule="exact"/>
        <w:ind w:firstLine="640" w:firstLineChars="200"/>
        <w:jc w:val="both"/>
        <w:rPr>
          <w:rFonts w:ascii="Times New Roman" w:hAnsi="Times New Roman" w:eastAsia="方正仿宋_GBK" w:cs="Times New Roman"/>
        </w:rPr>
      </w:pPr>
      <w:r>
        <w:rPr>
          <w:rFonts w:ascii="方正楷体_GBK" w:hAnsi="Times New Roman" w:eastAsia="方正楷体_GBK" w:cs="Times New Roman"/>
          <w:sz w:val="32"/>
          <w:szCs w:val="32"/>
        </w:rPr>
        <w:t>（三）强化风险防控。</w:t>
      </w:r>
      <w:r>
        <w:rPr>
          <w:rFonts w:ascii="Times New Roman" w:hAnsi="Times New Roman" w:eastAsia="方正仿宋_GBK" w:cs="Times New Roman"/>
          <w:sz w:val="32"/>
          <w:szCs w:val="32"/>
        </w:rPr>
        <w:t>加强欠薪风险信息化监测，利用</w:t>
      </w:r>
      <w:r>
        <w:rPr>
          <w:rFonts w:hint="eastAsia" w:ascii="Times New Roman" w:hAnsi="Times New Roman" w:eastAsia="方正仿宋_GBK" w:cs="Times New Roman"/>
          <w:sz w:val="32"/>
          <w:szCs w:val="32"/>
        </w:rPr>
        <w:t>宿迁市农民工工资支付监控预警系统</w:t>
      </w:r>
      <w:r>
        <w:rPr>
          <w:rFonts w:ascii="Times New Roman" w:hAnsi="Times New Roman" w:eastAsia="方正仿宋_GBK" w:cs="Times New Roman"/>
          <w:sz w:val="32"/>
          <w:szCs w:val="32"/>
        </w:rPr>
        <w:t>，强化实时监测、预警预防，提升数据监测质量，精准赋能执法效能提升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坚决守住不发生系统性、区域性风险和极端恶性事件底线。</w:t>
      </w:r>
    </w:p>
    <w:p>
      <w:pPr>
        <w:pStyle w:val="8"/>
        <w:spacing w:before="0" w:beforeAutospacing="0" w:after="0" w:afterAutospacing="0" w:line="600" w:lineRule="exact"/>
        <w:ind w:firstLine="640" w:firstLineChars="200"/>
        <w:jc w:val="both"/>
        <w:rPr>
          <w:rFonts w:ascii="Times New Roman" w:hAnsi="Times New Roman" w:eastAsia="方正仿宋_GBK" w:cs="Times New Roman"/>
        </w:rPr>
      </w:pPr>
      <w:r>
        <w:rPr>
          <w:rFonts w:ascii="方正楷体_GBK" w:hAnsi="Times New Roman" w:eastAsia="方正楷体_GBK" w:cs="Times New Roman"/>
          <w:sz w:val="32"/>
          <w:szCs w:val="32"/>
        </w:rPr>
        <w:t>（四）形成长效机制。</w:t>
      </w:r>
      <w:r>
        <w:rPr>
          <w:rFonts w:ascii="Times New Roman" w:hAnsi="Times New Roman" w:eastAsia="方正仿宋_GBK" w:cs="Times New Roman"/>
          <w:sz w:val="32"/>
          <w:szCs w:val="32"/>
        </w:rPr>
        <w:t>在专项行动开展过程中要加强调查研究，及时总结落实工资支付保障制度方面的典型经验和成功做法，推动形成制度落实长效机制。通过推介标杆项目保障农民工工资支付经验做法，推动企业在实名制管理、专用账户管理、施工总承包单位代发工资、工资保证金维权信息公示等制度方面形成标准化管理体系。</w:t>
      </w:r>
    </w:p>
    <w:p>
      <w:pPr>
        <w:spacing w:line="600" w:lineRule="exact"/>
        <w:ind w:firstLine="640"/>
        <w:rPr>
          <w:rFonts w:eastAsia="方正仿宋_GBK" w:cs="Times New Roman"/>
          <w:szCs w:val="32"/>
        </w:rPr>
      </w:pPr>
      <w:r>
        <w:rPr>
          <w:rFonts w:hint="eastAsia" w:eastAsia="方正仿宋_GBK" w:cs="Times New Roman"/>
          <w:szCs w:val="32"/>
        </w:rPr>
        <w:t>请</w:t>
      </w:r>
      <w:r>
        <w:rPr>
          <w:rFonts w:eastAsia="方正仿宋_GBK" w:cs="Times New Roman"/>
          <w:szCs w:val="32"/>
        </w:rPr>
        <w:t>各地</w:t>
      </w:r>
      <w:r>
        <w:rPr>
          <w:rFonts w:hint="eastAsia" w:eastAsia="方正仿宋_GBK" w:cs="Times New Roman"/>
          <w:szCs w:val="32"/>
        </w:rPr>
        <w:t>明确专人负责，</w:t>
      </w:r>
      <w:r>
        <w:rPr>
          <w:rFonts w:eastAsia="方正仿宋_GBK" w:cs="Times New Roman"/>
          <w:szCs w:val="32"/>
        </w:rPr>
        <w:t>于2024年</w:t>
      </w:r>
      <w:r>
        <w:rPr>
          <w:rFonts w:hint="eastAsia" w:eastAsia="方正仿宋_GBK" w:cs="Times New Roman"/>
          <w:szCs w:val="32"/>
        </w:rPr>
        <w:t>9</w:t>
      </w:r>
      <w:r>
        <w:rPr>
          <w:rFonts w:eastAsia="方正仿宋_GBK" w:cs="Times New Roman"/>
          <w:szCs w:val="32"/>
        </w:rPr>
        <w:t>月</w:t>
      </w:r>
      <w:r>
        <w:rPr>
          <w:rFonts w:hint="eastAsia" w:eastAsia="方正仿宋_GBK" w:cs="Times New Roman"/>
          <w:szCs w:val="32"/>
        </w:rPr>
        <w:t>3</w:t>
      </w:r>
      <w:r>
        <w:rPr>
          <w:rFonts w:eastAsia="方正仿宋_GBK" w:cs="Times New Roman"/>
          <w:szCs w:val="32"/>
        </w:rPr>
        <w:t>0日前</w:t>
      </w:r>
      <w:r>
        <w:rPr>
          <w:rFonts w:hint="eastAsia" w:eastAsia="方正仿宋_GBK" w:cs="Times New Roman"/>
          <w:szCs w:val="32"/>
        </w:rPr>
        <w:t>向市根治拖欠农民工工资工作领导小组办公室报送本地区“安薪宿迁”专项行动总体情况，包括开展情况、取得成效、存在问题和意见建议等。</w:t>
      </w:r>
    </w:p>
    <w:p>
      <w:pPr>
        <w:spacing w:line="600" w:lineRule="exact"/>
        <w:ind w:firstLine="640"/>
        <w:rPr>
          <w:rFonts w:eastAsia="方正仿宋_GBK" w:cs="Times New Roman"/>
          <w:szCs w:val="32"/>
        </w:rPr>
      </w:pPr>
      <w:r>
        <w:rPr>
          <w:rFonts w:eastAsia="方正仿宋_GBK" w:cs="Times New Roman"/>
          <w:szCs w:val="32"/>
        </w:rPr>
        <w:t>联系人：陈庄臣，联系电话：84359019、84353170（传真），电子邮箱：</w:t>
      </w:r>
      <w:r>
        <w:fldChar w:fldCharType="begin"/>
      </w:r>
      <w:r>
        <w:instrText xml:space="preserve"> HYPERLINK "mailto:sqsldjc@163.com" </w:instrText>
      </w:r>
      <w:r>
        <w:fldChar w:fldCharType="separate"/>
      </w:r>
      <w:r>
        <w:rPr>
          <w:rFonts w:eastAsia="方正仿宋_GBK" w:cs="Times New Roman"/>
          <w:szCs w:val="32"/>
        </w:rPr>
        <w:t>sqsldjc@163.com</w:t>
      </w:r>
      <w:r>
        <w:rPr>
          <w:rFonts w:eastAsia="方正仿宋_GBK" w:cs="Times New Roman"/>
          <w:szCs w:val="32"/>
        </w:rPr>
        <w:fldChar w:fldCharType="end"/>
      </w:r>
      <w:r>
        <w:rPr>
          <w:rFonts w:eastAsia="方正仿宋_GBK" w:cs="Times New Roman"/>
          <w:szCs w:val="32"/>
        </w:rPr>
        <w:t>。</w:t>
      </w:r>
    </w:p>
    <w:p>
      <w:pPr>
        <w:spacing w:line="600" w:lineRule="exact"/>
        <w:ind w:firstLine="640"/>
        <w:rPr>
          <w:rFonts w:eastAsia="方正仿宋_GBK" w:cs="Times New Roman"/>
          <w:szCs w:val="32"/>
        </w:rPr>
      </w:pPr>
    </w:p>
    <w:p>
      <w:pPr>
        <w:pStyle w:val="3"/>
        <w:spacing w:line="600" w:lineRule="exact"/>
      </w:pPr>
    </w:p>
    <w:sectPr>
      <w:footerReference r:id="rId3" w:type="default"/>
      <w:pgSz w:w="11906" w:h="16838"/>
      <w:pgMar w:top="1440" w:right="1474" w:bottom="1440" w:left="147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107403"/>
    </w:sdtPr>
    <w:sdtEndPr>
      <w:rPr>
        <w:rFonts w:ascii="Times New Roman" w:hAnsi="Times New Roman" w:cs="Times New Roman"/>
        <w:sz w:val="32"/>
        <w:szCs w:val="32"/>
      </w:rPr>
    </w:sdtEndPr>
    <w:sdtContent>
      <w:p>
        <w:pPr>
          <w:pStyle w:val="6"/>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w:t>
        </w:r>
        <w:r>
          <w:rPr>
            <w:rFonts w:ascii="Times New Roman" w:hAnsi="Times New Roman" w:cs="Times New Roman"/>
            <w:sz w:val="32"/>
            <w:szCs w:val="32"/>
          </w:rPr>
          <w:fldChar w:fldCharType="end"/>
        </w:r>
        <w:r>
          <w:rPr>
            <w:rFonts w:ascii="Times New Roman" w:hAnsi="Times New Roman" w:cs="Times New Roman"/>
            <w:sz w:val="32"/>
            <w:szCs w:val="32"/>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Q3MzI4MTE0YTk1ODU0ODYwZGM3MGU1ODU1YzEwYTgifQ=="/>
  </w:docVars>
  <w:rsids>
    <w:rsidRoot w:val="00D759A8"/>
    <w:rsid w:val="00005132"/>
    <w:rsid w:val="000F772A"/>
    <w:rsid w:val="00135B2E"/>
    <w:rsid w:val="001A0D84"/>
    <w:rsid w:val="001B7889"/>
    <w:rsid w:val="00276770"/>
    <w:rsid w:val="002D7E01"/>
    <w:rsid w:val="002F5E0F"/>
    <w:rsid w:val="00320D37"/>
    <w:rsid w:val="0034053D"/>
    <w:rsid w:val="003450F8"/>
    <w:rsid w:val="00372D07"/>
    <w:rsid w:val="003F3286"/>
    <w:rsid w:val="003F6DFA"/>
    <w:rsid w:val="00412119"/>
    <w:rsid w:val="00447B77"/>
    <w:rsid w:val="004A21BD"/>
    <w:rsid w:val="005052B8"/>
    <w:rsid w:val="00513AE7"/>
    <w:rsid w:val="005B3AFF"/>
    <w:rsid w:val="005E6DD3"/>
    <w:rsid w:val="00713A77"/>
    <w:rsid w:val="00784C6E"/>
    <w:rsid w:val="00811DF6"/>
    <w:rsid w:val="008A20D5"/>
    <w:rsid w:val="008D0829"/>
    <w:rsid w:val="00903576"/>
    <w:rsid w:val="00997412"/>
    <w:rsid w:val="009A1660"/>
    <w:rsid w:val="00AB1452"/>
    <w:rsid w:val="00AB24F1"/>
    <w:rsid w:val="00BE2D73"/>
    <w:rsid w:val="00BF32D0"/>
    <w:rsid w:val="00C74368"/>
    <w:rsid w:val="00CB6147"/>
    <w:rsid w:val="00CE07C3"/>
    <w:rsid w:val="00CE2371"/>
    <w:rsid w:val="00D759A8"/>
    <w:rsid w:val="00D86812"/>
    <w:rsid w:val="00DA1F26"/>
    <w:rsid w:val="00DB3AA5"/>
    <w:rsid w:val="00DF36F8"/>
    <w:rsid w:val="00E35E2E"/>
    <w:rsid w:val="00F03270"/>
    <w:rsid w:val="00F3433E"/>
    <w:rsid w:val="00F3469E"/>
    <w:rsid w:val="00F645DE"/>
    <w:rsid w:val="00F66C55"/>
    <w:rsid w:val="00F85925"/>
    <w:rsid w:val="00FA21A4"/>
    <w:rsid w:val="00FA5ECF"/>
    <w:rsid w:val="00FD4811"/>
    <w:rsid w:val="00FD4966"/>
    <w:rsid w:val="07027522"/>
    <w:rsid w:val="217C32A0"/>
    <w:rsid w:val="340E5CC4"/>
    <w:rsid w:val="4DE13062"/>
    <w:rsid w:val="5F8827B7"/>
    <w:rsid w:val="60F5205A"/>
    <w:rsid w:val="64580CB0"/>
    <w:rsid w:val="65D37966"/>
    <w:rsid w:val="69991C4D"/>
    <w:rsid w:val="6A327690"/>
    <w:rsid w:val="6BE75835"/>
    <w:rsid w:val="6C686FD2"/>
    <w:rsid w:val="7D1953D8"/>
    <w:rsid w:val="7E131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32"/>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jc w:val="left"/>
    </w:pPr>
  </w:style>
  <w:style w:type="paragraph" w:styleId="3">
    <w:name w:val="Body Text"/>
    <w:basedOn w:val="1"/>
    <w:link w:val="15"/>
    <w:autoRedefine/>
    <w:qFormat/>
    <w:uiPriority w:val="99"/>
    <w:pPr>
      <w:widowControl/>
      <w:spacing w:line="360" w:lineRule="auto"/>
    </w:pPr>
    <w:rPr>
      <w:color w:val="FF0000"/>
    </w:rPr>
  </w:style>
  <w:style w:type="paragraph" w:styleId="4">
    <w:name w:val="Plain Text"/>
    <w:basedOn w:val="1"/>
    <w:link w:val="18"/>
    <w:autoRedefine/>
    <w:qFormat/>
    <w:uiPriority w:val="0"/>
    <w:rPr>
      <w:rFonts w:ascii="宋体" w:hAnsi="Courier New" w:cs="Times New Roman"/>
      <w:kern w:val="0"/>
      <w:sz w:val="20"/>
      <w:szCs w:val="21"/>
      <w:lang w:val="zh-CN"/>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autoRedefine/>
    <w:semiHidden/>
    <w:unhideWhenUsed/>
    <w:qFormat/>
    <w:uiPriority w:val="99"/>
    <w:rPr>
      <w:b/>
      <w:bCs/>
    </w:rPr>
  </w:style>
  <w:style w:type="character" w:styleId="12">
    <w:name w:val="Strong"/>
    <w:basedOn w:val="11"/>
    <w:autoRedefine/>
    <w:qFormat/>
    <w:uiPriority w:val="22"/>
    <w:rPr>
      <w:b/>
      <w:bCs/>
    </w:rPr>
  </w:style>
  <w:style w:type="character" w:styleId="13">
    <w:name w:val="page number"/>
    <w:basedOn w:val="11"/>
    <w:autoRedefine/>
    <w:qFormat/>
    <w:uiPriority w:val="0"/>
  </w:style>
  <w:style w:type="character" w:styleId="14">
    <w:name w:val="annotation reference"/>
    <w:basedOn w:val="11"/>
    <w:autoRedefine/>
    <w:semiHidden/>
    <w:unhideWhenUsed/>
    <w:qFormat/>
    <w:uiPriority w:val="99"/>
    <w:rPr>
      <w:sz w:val="21"/>
      <w:szCs w:val="21"/>
    </w:rPr>
  </w:style>
  <w:style w:type="character" w:customStyle="1" w:styleId="15">
    <w:name w:val="正文文本 Char"/>
    <w:basedOn w:val="11"/>
    <w:link w:val="3"/>
    <w:autoRedefine/>
    <w:qFormat/>
    <w:uiPriority w:val="99"/>
    <w:rPr>
      <w:rFonts w:ascii="Times New Roman" w:hAnsi="Times New Roman" w:eastAsia="宋体"/>
      <w:color w:val="FF0000"/>
      <w:kern w:val="2"/>
      <w:sz w:val="32"/>
      <w:szCs w:val="24"/>
    </w:rPr>
  </w:style>
  <w:style w:type="character" w:customStyle="1" w:styleId="16">
    <w:name w:val="页眉 Char"/>
    <w:basedOn w:val="11"/>
    <w:link w:val="7"/>
    <w:autoRedefine/>
    <w:qFormat/>
    <w:uiPriority w:val="0"/>
    <w:rPr>
      <w:rFonts w:ascii="Times New Roman" w:hAnsi="Times New Roman" w:eastAsia="宋体" w:cs="Times New Roman"/>
      <w:kern w:val="2"/>
      <w:sz w:val="18"/>
      <w:szCs w:val="18"/>
    </w:rPr>
  </w:style>
  <w:style w:type="character" w:customStyle="1" w:styleId="17">
    <w:name w:val="页脚 Char"/>
    <w:basedOn w:val="11"/>
    <w:link w:val="6"/>
    <w:autoRedefine/>
    <w:qFormat/>
    <w:uiPriority w:val="99"/>
    <w:rPr>
      <w:kern w:val="2"/>
      <w:sz w:val="18"/>
      <w:szCs w:val="18"/>
    </w:rPr>
  </w:style>
  <w:style w:type="character" w:customStyle="1" w:styleId="18">
    <w:name w:val="纯文本 Char"/>
    <w:basedOn w:val="11"/>
    <w:link w:val="4"/>
    <w:autoRedefine/>
    <w:qFormat/>
    <w:uiPriority w:val="0"/>
    <w:rPr>
      <w:rFonts w:ascii="宋体" w:hAnsi="Courier New" w:eastAsia="宋体" w:cs="Times New Roman"/>
      <w:szCs w:val="21"/>
      <w:lang w:val="zh-CN" w:eastAsia="zh-CN"/>
    </w:rPr>
  </w:style>
  <w:style w:type="character" w:customStyle="1" w:styleId="19">
    <w:name w:val="批注框文本 Char"/>
    <w:basedOn w:val="11"/>
    <w:link w:val="5"/>
    <w:autoRedefine/>
    <w:semiHidden/>
    <w:qFormat/>
    <w:uiPriority w:val="99"/>
    <w:rPr>
      <w:rFonts w:cstheme="minorBidi"/>
      <w:kern w:val="2"/>
      <w:sz w:val="18"/>
      <w:szCs w:val="18"/>
    </w:rPr>
  </w:style>
  <w:style w:type="character" w:customStyle="1" w:styleId="20">
    <w:name w:val="批注文字 Char"/>
    <w:basedOn w:val="11"/>
    <w:link w:val="2"/>
    <w:autoRedefine/>
    <w:semiHidden/>
    <w:qFormat/>
    <w:uiPriority w:val="99"/>
    <w:rPr>
      <w:rFonts w:cstheme="minorBidi"/>
      <w:kern w:val="2"/>
      <w:sz w:val="32"/>
      <w:szCs w:val="24"/>
    </w:rPr>
  </w:style>
  <w:style w:type="character" w:customStyle="1" w:styleId="21">
    <w:name w:val="批注主题 Char"/>
    <w:basedOn w:val="20"/>
    <w:link w:val="9"/>
    <w:autoRedefine/>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517</Words>
  <Characters>2950</Characters>
  <Lines>24</Lines>
  <Paragraphs>6</Paragraphs>
  <TotalTime>191</TotalTime>
  <ScaleCrop>false</ScaleCrop>
  <LinksUpToDate>false</LinksUpToDate>
  <CharactersWithSpaces>3461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2024-05-21T06:26:00Z</dcterms:created>
  <dc:creator>微软用户</dc:creator>
  <cp:lastModifiedBy>czc</cp:lastModifiedBy>
  <cp:lastPrinted>2024-05-28T07:53:00Z</cp:lastPrinted>
  <dcterms:modified xsi:type="dcterms:W3CDTF">2024-06-03T02:12:01Z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CB0F86716D8B4E88BFBAC36B293C9431_13</vt:lpwstr>
  </property>
</Properties>
</file>